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45" w:rsidRPr="007F5221" w:rsidRDefault="00913A45" w:rsidP="007F5221">
      <w:pPr>
        <w:tabs>
          <w:tab w:val="left" w:pos="0"/>
        </w:tabs>
        <w:jc w:val="center"/>
        <w:rPr>
          <w:b/>
          <w:i/>
          <w:sz w:val="32"/>
          <w:szCs w:val="32"/>
        </w:rPr>
      </w:pPr>
      <w:r w:rsidRPr="007F5221">
        <w:rPr>
          <w:b/>
          <w:i/>
          <w:sz w:val="32"/>
          <w:szCs w:val="32"/>
        </w:rPr>
        <w:t>απαντήσεις των ασκήσεων</w:t>
      </w:r>
    </w:p>
    <w:p w:rsidR="007F5221" w:rsidRPr="007F5221" w:rsidRDefault="007F5221" w:rsidP="007F5221">
      <w:pPr>
        <w:tabs>
          <w:tab w:val="left" w:pos="0"/>
        </w:tabs>
        <w:jc w:val="both"/>
        <w:rPr>
          <w:sz w:val="14"/>
          <w:szCs w:val="14"/>
        </w:rPr>
      </w:pPr>
      <w:r w:rsidRPr="0086629E">
        <w:rPr>
          <w:b/>
          <w:sz w:val="26"/>
          <w:szCs w:val="26"/>
        </w:rPr>
        <w:t>1.1.</w:t>
      </w:r>
      <w:r>
        <w:rPr>
          <w:sz w:val="26"/>
          <w:szCs w:val="26"/>
        </w:rPr>
        <w:t xml:space="preserve">  </w:t>
      </w:r>
      <w:r>
        <w:rPr>
          <w:sz w:val="26"/>
          <w:szCs w:val="26"/>
        </w:rPr>
        <w:tab/>
      </w:r>
    </w:p>
    <w:p w:rsidR="007F5221" w:rsidRDefault="007F5221" w:rsidP="007F5221">
      <w:pPr>
        <w:tabs>
          <w:tab w:val="left" w:pos="0"/>
        </w:tabs>
        <w:jc w:val="both"/>
        <w:rPr>
          <w:sz w:val="26"/>
          <w:szCs w:val="26"/>
        </w:rPr>
      </w:pPr>
      <w:r>
        <w:rPr>
          <w:noProof/>
          <w:sz w:val="26"/>
          <w:szCs w:val="26"/>
        </w:rPr>
        <w:drawing>
          <wp:anchor distT="0" distB="0" distL="114300" distR="114300" simplePos="0" relativeHeight="251664384" behindDoc="0" locked="0" layoutInCell="1" allowOverlap="1">
            <wp:simplePos x="0" y="0"/>
            <wp:positionH relativeFrom="column">
              <wp:posOffset>260350</wp:posOffset>
            </wp:positionH>
            <wp:positionV relativeFrom="paragraph">
              <wp:posOffset>78740</wp:posOffset>
            </wp:positionV>
            <wp:extent cx="5530850" cy="3917950"/>
            <wp:effectExtent l="19050" t="0" r="0" b="0"/>
            <wp:wrapSquare wrapText="bothSides"/>
            <wp:docPr id="1" name="Εικόνα 40" descr="http://chicago.agrino.org/images/travel_agents/Greece_Cyprus_Geographical_1000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hicago.agrino.org/images/travel_agents/Greece_Cyprus_Geographical_1000_bg.jpg"/>
                    <pic:cNvPicPr>
                      <a:picLocks noChangeAspect="1" noChangeArrowheads="1"/>
                    </pic:cNvPicPr>
                  </pic:nvPicPr>
                  <pic:blipFill>
                    <a:blip r:embed="rId8" cstate="print"/>
                    <a:srcRect b="19134"/>
                    <a:stretch>
                      <a:fillRect/>
                    </a:stretch>
                  </pic:blipFill>
                  <pic:spPr bwMode="auto">
                    <a:xfrm>
                      <a:off x="0" y="0"/>
                      <a:ext cx="5530850" cy="3917950"/>
                    </a:xfrm>
                    <a:prstGeom prst="rect">
                      <a:avLst/>
                    </a:prstGeom>
                    <a:noFill/>
                    <a:ln w="9525">
                      <a:noFill/>
                      <a:miter lim="800000"/>
                      <a:headEnd/>
                      <a:tailEnd/>
                    </a:ln>
                  </pic:spPr>
                </pic:pic>
              </a:graphicData>
            </a:graphic>
          </wp:anchor>
        </w:drawing>
      </w: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0D27E0" w:rsidP="007F5221">
      <w:pPr>
        <w:tabs>
          <w:tab w:val="left" w:pos="0"/>
        </w:tabs>
        <w:jc w:val="both"/>
        <w:rPr>
          <w:sz w:val="26"/>
          <w:szCs w:val="26"/>
        </w:rPr>
      </w:pPr>
      <w:r w:rsidRPr="000D27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8" type="#_x0000_t136" style="position:absolute;left:0;text-align:left;margin-left:-358.65pt;margin-top:13.05pt;width:16.95pt;height:22.95pt;z-index:251676672">
            <v:shadow on="t" opacity="52429f"/>
            <v:textpath style="font-family:&quot;Arial Black&quot;;font-style:italic;v-text-kern:t" trim="t" fitpath="t" string="1"/>
          </v:shape>
        </w:pict>
      </w: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0D27E0" w:rsidP="007F5221">
      <w:pPr>
        <w:tabs>
          <w:tab w:val="left" w:pos="0"/>
        </w:tabs>
        <w:jc w:val="both"/>
        <w:rPr>
          <w:sz w:val="26"/>
          <w:szCs w:val="26"/>
        </w:rPr>
      </w:pPr>
      <w:r>
        <w:rPr>
          <w:noProof/>
          <w:sz w:val="26"/>
          <w:szCs w:val="26"/>
        </w:rPr>
        <w:pict>
          <v:shape id="_x0000_s1109" type="#_x0000_t136" style="position:absolute;left:0;text-align:left;margin-left:-317.65pt;margin-top:8.25pt;width:16.95pt;height:27.45pt;z-index:251677696">
            <v:shadow on="t" opacity="52429f"/>
            <v:textpath style="font-family:&quot;Arial Black&quot;;font-style:italic;v-text-kern:t" trim="t" fitpath="t" string="2"/>
          </v:shape>
        </w:pict>
      </w:r>
    </w:p>
    <w:p w:rsidR="007F5221" w:rsidRDefault="000D27E0" w:rsidP="007F5221">
      <w:pPr>
        <w:tabs>
          <w:tab w:val="left" w:pos="0"/>
        </w:tabs>
        <w:jc w:val="both"/>
        <w:rPr>
          <w:sz w:val="26"/>
          <w:szCs w:val="26"/>
        </w:rPr>
      </w:pPr>
      <w:r>
        <w:rPr>
          <w:noProof/>
          <w:sz w:val="26"/>
          <w:szCs w:val="26"/>
        </w:rPr>
        <w:pict>
          <v:shape id="_x0000_s1110" type="#_x0000_t136" style="position:absolute;left:0;text-align:left;margin-left:-280.65pt;margin-top:13.25pt;width:16.95pt;height:27.45pt;z-index:251678720">
            <v:shadow on="t" opacity="52429f"/>
            <v:textpath style="font-family:&quot;Arial Black&quot;;font-style:italic;v-text-kern:t" trim="t" fitpath="t" string="3"/>
          </v:shape>
        </w:pict>
      </w:r>
    </w:p>
    <w:p w:rsidR="007F5221" w:rsidRDefault="007F5221" w:rsidP="007F5221">
      <w:pPr>
        <w:tabs>
          <w:tab w:val="left" w:pos="0"/>
        </w:tabs>
        <w:jc w:val="both"/>
        <w:rPr>
          <w:sz w:val="26"/>
          <w:szCs w:val="26"/>
        </w:rPr>
      </w:pPr>
    </w:p>
    <w:p w:rsidR="007F5221" w:rsidRDefault="000D27E0" w:rsidP="007F5221">
      <w:pPr>
        <w:tabs>
          <w:tab w:val="left" w:pos="0"/>
        </w:tabs>
        <w:jc w:val="both"/>
        <w:rPr>
          <w:sz w:val="26"/>
          <w:szCs w:val="26"/>
        </w:rPr>
      </w:pPr>
      <w:r>
        <w:rPr>
          <w:noProof/>
          <w:sz w:val="26"/>
          <w:szCs w:val="26"/>
        </w:rPr>
        <w:pict>
          <v:shape id="_x0000_s1111" type="#_x0000_t136" style="position:absolute;left:0;text-align:left;margin-left:-297.6pt;margin-top:4.35pt;width:14.45pt;height:24.55pt;z-index:251679744">
            <v:shadow on="t" opacity="52429f"/>
            <v:textpath style="font-family:&quot;Arial Black&quot;;font-style:italic;v-text-kern:t" trim="t" fitpath="t" string="4"/>
          </v:shape>
        </w:pict>
      </w:r>
    </w:p>
    <w:p w:rsidR="007F5221" w:rsidRDefault="000D27E0" w:rsidP="007F5221">
      <w:pPr>
        <w:tabs>
          <w:tab w:val="left" w:pos="0"/>
        </w:tabs>
        <w:jc w:val="both"/>
        <w:rPr>
          <w:sz w:val="26"/>
          <w:szCs w:val="26"/>
        </w:rPr>
      </w:pPr>
      <w:r>
        <w:rPr>
          <w:noProof/>
          <w:sz w:val="26"/>
          <w:szCs w:val="26"/>
        </w:rPr>
        <w:pict>
          <v:shape id="_x0000_s1112" type="#_x0000_t136" style="position:absolute;left:0;text-align:left;margin-left:-314.55pt;margin-top:6.9pt;width:13.85pt;height:23.55pt;z-index:251680768">
            <v:shadow on="t" opacity="52429f"/>
            <v:textpath style="font-family:&quot;Arial Black&quot;;font-style:italic;v-text-kern:t" trim="t" fitpath="t" string="5"/>
          </v:shape>
        </w:pict>
      </w:r>
    </w:p>
    <w:p w:rsidR="007F5221" w:rsidRDefault="007F5221" w:rsidP="007F5221">
      <w:pPr>
        <w:tabs>
          <w:tab w:val="left" w:pos="0"/>
        </w:tabs>
        <w:jc w:val="both"/>
        <w:rPr>
          <w:sz w:val="26"/>
          <w:szCs w:val="26"/>
        </w:rPr>
      </w:pPr>
    </w:p>
    <w:p w:rsidR="007F5221" w:rsidRDefault="000D27E0" w:rsidP="007F5221">
      <w:pPr>
        <w:tabs>
          <w:tab w:val="left" w:pos="0"/>
        </w:tabs>
        <w:jc w:val="both"/>
        <w:rPr>
          <w:sz w:val="26"/>
          <w:szCs w:val="26"/>
        </w:rPr>
      </w:pPr>
      <w:r>
        <w:rPr>
          <w:noProof/>
          <w:sz w:val="26"/>
          <w:szCs w:val="26"/>
        </w:rPr>
        <w:pict>
          <v:shape id="_x0000_s1113" type="#_x0000_t136" style="position:absolute;left:0;text-align:left;margin-left:-320.65pt;margin-top:10.5pt;width:15.4pt;height:24.05pt;z-index:251681792">
            <v:shadow on="t" opacity="52429f"/>
            <v:textpath style="font-family:&quot;Arial Black&quot;;font-style:italic;v-text-kern:t" trim="t" fitpath="t" string="6"/>
          </v:shape>
        </w:pict>
      </w: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E14CF" w:rsidRDefault="007E14CF" w:rsidP="007E14CF">
      <w:pPr>
        <w:tabs>
          <w:tab w:val="left" w:pos="0"/>
        </w:tabs>
        <w:spacing w:line="276" w:lineRule="auto"/>
        <w:jc w:val="both"/>
        <w:rPr>
          <w:b/>
          <w:sz w:val="26"/>
          <w:szCs w:val="26"/>
        </w:rPr>
      </w:pPr>
    </w:p>
    <w:p w:rsidR="00A32007" w:rsidRDefault="007E14CF" w:rsidP="00B900E2">
      <w:pPr>
        <w:tabs>
          <w:tab w:val="left" w:pos="0"/>
        </w:tabs>
        <w:spacing w:line="276" w:lineRule="auto"/>
        <w:jc w:val="both"/>
        <w:rPr>
          <w:sz w:val="26"/>
          <w:szCs w:val="26"/>
        </w:rPr>
      </w:pPr>
      <w:r>
        <w:rPr>
          <w:b/>
          <w:sz w:val="26"/>
          <w:szCs w:val="26"/>
        </w:rPr>
        <w:tab/>
        <w:t>1.2</w:t>
      </w:r>
      <w:r w:rsidR="007F5221" w:rsidRPr="0086629E">
        <w:rPr>
          <w:b/>
          <w:sz w:val="26"/>
          <w:szCs w:val="26"/>
        </w:rPr>
        <w:t>.</w:t>
      </w:r>
      <w:r w:rsidR="007F5221">
        <w:rPr>
          <w:sz w:val="26"/>
          <w:szCs w:val="26"/>
        </w:rPr>
        <w:t xml:space="preserve"> </w:t>
      </w:r>
      <w:r w:rsidR="007F5221">
        <w:rPr>
          <w:sz w:val="26"/>
          <w:szCs w:val="26"/>
        </w:rPr>
        <w:tab/>
      </w:r>
      <w:r w:rsidR="00A32007">
        <w:rPr>
          <w:sz w:val="26"/>
          <w:szCs w:val="26"/>
        </w:rPr>
        <w:t xml:space="preserve">Η ετυμολογική σύνδεση αυτών των δύο λέξεων σημαίνει ότι προφανώς </w:t>
      </w:r>
      <w:r w:rsidR="00EF0653">
        <w:rPr>
          <w:sz w:val="26"/>
          <w:szCs w:val="26"/>
        </w:rPr>
        <w:t xml:space="preserve">οι Δωριείς επιβλήθηκαν στις περιοχές τις οποίες κατέλαβαν με τη βία και με τον πόλεμο. Εφόσον η λέξη αυτή όντως προέρχεται από τη λέξη </w:t>
      </w:r>
      <w:r w:rsidR="00B900E2">
        <w:rPr>
          <w:sz w:val="26"/>
          <w:szCs w:val="26"/>
        </w:rPr>
        <w:t>«</w:t>
      </w:r>
      <w:r w:rsidR="00EF0653" w:rsidRPr="00B900E2">
        <w:rPr>
          <w:i/>
          <w:sz w:val="26"/>
          <w:szCs w:val="26"/>
        </w:rPr>
        <w:t>δόρυ</w:t>
      </w:r>
      <w:r w:rsidR="00B900E2">
        <w:rPr>
          <w:sz w:val="26"/>
          <w:szCs w:val="26"/>
        </w:rPr>
        <w:t>»</w:t>
      </w:r>
      <w:r w:rsidR="00EF0653">
        <w:rPr>
          <w:sz w:val="26"/>
          <w:szCs w:val="26"/>
        </w:rPr>
        <w:t xml:space="preserve">, τότε μπορούμε βάσιμα να συμπεράνουμε ότι η φυλή αυτή διεξήγαγε πολέμους και επιβλήθηκε με τη βία στους ντόπιους πληθυσμούς. </w:t>
      </w:r>
    </w:p>
    <w:p w:rsidR="007F5221" w:rsidRPr="00A81FBD" w:rsidRDefault="007F5221" w:rsidP="007F5221">
      <w:pPr>
        <w:tabs>
          <w:tab w:val="left" w:pos="0"/>
        </w:tabs>
        <w:jc w:val="both"/>
        <w:rPr>
          <w:sz w:val="18"/>
          <w:szCs w:val="18"/>
        </w:rPr>
      </w:pPr>
    </w:p>
    <w:p w:rsidR="007F5221" w:rsidRDefault="007E14CF" w:rsidP="00B900E2">
      <w:pPr>
        <w:tabs>
          <w:tab w:val="left" w:pos="0"/>
        </w:tabs>
        <w:spacing w:line="276" w:lineRule="auto"/>
        <w:jc w:val="both"/>
        <w:rPr>
          <w:sz w:val="26"/>
          <w:szCs w:val="26"/>
        </w:rPr>
      </w:pPr>
      <w:r>
        <w:rPr>
          <w:b/>
          <w:sz w:val="26"/>
          <w:szCs w:val="26"/>
        </w:rPr>
        <w:tab/>
        <w:t>1.3</w:t>
      </w:r>
      <w:r w:rsidR="007F5221" w:rsidRPr="0086629E">
        <w:rPr>
          <w:b/>
          <w:sz w:val="26"/>
          <w:szCs w:val="26"/>
        </w:rPr>
        <w:t>.</w:t>
      </w:r>
      <w:r w:rsidR="007F5221">
        <w:rPr>
          <w:sz w:val="26"/>
          <w:szCs w:val="26"/>
        </w:rPr>
        <w:t xml:space="preserve"> </w:t>
      </w:r>
      <w:r w:rsidR="007F5221">
        <w:rPr>
          <w:sz w:val="26"/>
          <w:szCs w:val="26"/>
        </w:rPr>
        <w:tab/>
      </w:r>
      <w:r w:rsidR="00EF0653">
        <w:rPr>
          <w:sz w:val="26"/>
          <w:szCs w:val="26"/>
        </w:rPr>
        <w:t xml:space="preserve">Η ζωή των ειλώτων θα ήταν πράγματι πολύ δύσκολη και απάνθρωπη. Εφόσον η λέξη αυτή πράγματι συνδέεται με το ρήμα </w:t>
      </w:r>
      <w:r w:rsidR="00B900E2">
        <w:rPr>
          <w:sz w:val="26"/>
          <w:szCs w:val="26"/>
        </w:rPr>
        <w:t>«</w:t>
      </w:r>
      <w:r w:rsidR="00EF0653" w:rsidRPr="00B900E2">
        <w:rPr>
          <w:i/>
          <w:sz w:val="26"/>
          <w:szCs w:val="26"/>
        </w:rPr>
        <w:t>κυριεύω</w:t>
      </w:r>
      <w:r w:rsidR="00B900E2">
        <w:rPr>
          <w:sz w:val="26"/>
          <w:szCs w:val="26"/>
        </w:rPr>
        <w:t>»</w:t>
      </w:r>
      <w:r w:rsidR="00EF0653">
        <w:rPr>
          <w:sz w:val="26"/>
          <w:szCs w:val="26"/>
        </w:rPr>
        <w:t xml:space="preserve">, οι άνθρωποι αυτοί θα ήρθαν σε αυτή τη θέση όταν οι Δωριείς κατέλαβαν την περιοχή της Σπάρτης και του Ευρώτα. Τότε, λοιπόν, θα υποδουλώθηκαν στους εισβολείς που κατέλαβαν την περιοχή τους και η μοίρα τους θα άλλαξε δραματικά.  </w:t>
      </w:r>
      <w:r w:rsidR="00EF0653">
        <w:rPr>
          <w:sz w:val="26"/>
          <w:szCs w:val="26"/>
        </w:rPr>
        <w:tab/>
      </w:r>
    </w:p>
    <w:p w:rsidR="00EF0653" w:rsidRDefault="00B900E2" w:rsidP="007F5221">
      <w:pPr>
        <w:tabs>
          <w:tab w:val="left" w:pos="0"/>
        </w:tabs>
        <w:spacing w:line="276" w:lineRule="auto"/>
        <w:jc w:val="both"/>
        <w:rPr>
          <w:sz w:val="26"/>
          <w:szCs w:val="26"/>
        </w:rPr>
      </w:pPr>
      <w:r>
        <w:rPr>
          <w:noProof/>
          <w:sz w:val="26"/>
          <w:szCs w:val="26"/>
        </w:rPr>
        <w:drawing>
          <wp:anchor distT="0" distB="0" distL="114300" distR="114300" simplePos="0" relativeHeight="251668480" behindDoc="0" locked="0" layoutInCell="1" allowOverlap="1">
            <wp:simplePos x="0" y="0"/>
            <wp:positionH relativeFrom="column">
              <wp:posOffset>1403350</wp:posOffset>
            </wp:positionH>
            <wp:positionV relativeFrom="paragraph">
              <wp:posOffset>112395</wp:posOffset>
            </wp:positionV>
            <wp:extent cx="3361055" cy="2254250"/>
            <wp:effectExtent l="76200" t="38100" r="67945" b="12700"/>
            <wp:wrapSquare wrapText="bothSides"/>
            <wp:docPr id="4" name="Διάγραμμα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EF0653">
        <w:rPr>
          <w:sz w:val="26"/>
          <w:szCs w:val="26"/>
        </w:rPr>
        <w:tab/>
      </w:r>
    </w:p>
    <w:p w:rsidR="007F5221" w:rsidRPr="00A81FBD" w:rsidRDefault="007F5221" w:rsidP="007F5221">
      <w:pPr>
        <w:tabs>
          <w:tab w:val="left" w:pos="0"/>
        </w:tabs>
        <w:jc w:val="both"/>
        <w:rPr>
          <w:sz w:val="18"/>
          <w:szCs w:val="18"/>
        </w:rPr>
      </w:pPr>
    </w:p>
    <w:p w:rsidR="007F5221" w:rsidRDefault="007F5221" w:rsidP="007F5221">
      <w:pPr>
        <w:tabs>
          <w:tab w:val="left" w:pos="0"/>
        </w:tabs>
        <w:jc w:val="both"/>
        <w:rPr>
          <w:i/>
          <w:color w:val="333333"/>
          <w:sz w:val="26"/>
          <w:szCs w:val="26"/>
          <w:shd w:val="clear" w:color="auto" w:fill="FFFFFF"/>
        </w:rPr>
      </w:pPr>
      <w:r>
        <w:rPr>
          <w:sz w:val="26"/>
          <w:szCs w:val="26"/>
        </w:rPr>
        <w:tab/>
      </w:r>
      <w:r w:rsidR="007E14CF">
        <w:rPr>
          <w:b/>
          <w:sz w:val="26"/>
          <w:szCs w:val="26"/>
        </w:rPr>
        <w:t>1.4</w:t>
      </w:r>
      <w:r w:rsidRPr="0068212F">
        <w:rPr>
          <w:b/>
          <w:sz w:val="26"/>
          <w:szCs w:val="26"/>
        </w:rPr>
        <w:t>.</w:t>
      </w:r>
      <w:r>
        <w:rPr>
          <w:sz w:val="26"/>
          <w:szCs w:val="26"/>
        </w:rPr>
        <w:t xml:space="preserve"> </w:t>
      </w:r>
      <w:r>
        <w:rPr>
          <w:sz w:val="26"/>
          <w:szCs w:val="26"/>
        </w:rPr>
        <w:tab/>
      </w:r>
      <w:r>
        <w:rPr>
          <w:i/>
          <w:color w:val="333333"/>
          <w:sz w:val="26"/>
          <w:szCs w:val="26"/>
          <w:shd w:val="clear" w:color="auto" w:fill="FFFFFF"/>
        </w:rPr>
        <w:tab/>
        <w:t xml:space="preserve"> </w:t>
      </w:r>
    </w:p>
    <w:p w:rsidR="007F5221" w:rsidRPr="00D0563F"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F5221" w:rsidRDefault="007F5221" w:rsidP="007F5221">
      <w:pPr>
        <w:tabs>
          <w:tab w:val="left" w:pos="0"/>
        </w:tabs>
        <w:jc w:val="both"/>
        <w:rPr>
          <w:sz w:val="26"/>
          <w:szCs w:val="26"/>
        </w:rPr>
      </w:pPr>
    </w:p>
    <w:p w:rsidR="007E14CF" w:rsidRDefault="007E14CF" w:rsidP="00EF0653">
      <w:pPr>
        <w:tabs>
          <w:tab w:val="left" w:pos="0"/>
        </w:tabs>
        <w:spacing w:line="360" w:lineRule="auto"/>
        <w:jc w:val="center"/>
        <w:rPr>
          <w:b/>
          <w:i/>
          <w:sz w:val="32"/>
          <w:szCs w:val="32"/>
        </w:rPr>
      </w:pPr>
    </w:p>
    <w:p w:rsidR="00913A45" w:rsidRPr="00864094" w:rsidRDefault="00913A45" w:rsidP="00EF0653">
      <w:pPr>
        <w:tabs>
          <w:tab w:val="left" w:pos="0"/>
        </w:tabs>
        <w:spacing w:line="360" w:lineRule="auto"/>
        <w:jc w:val="center"/>
        <w:rPr>
          <w:b/>
          <w:i/>
          <w:sz w:val="32"/>
          <w:szCs w:val="32"/>
        </w:rPr>
      </w:pPr>
      <w:r w:rsidRPr="00864094">
        <w:rPr>
          <w:b/>
          <w:i/>
          <w:sz w:val="32"/>
          <w:szCs w:val="32"/>
        </w:rPr>
        <w:lastRenderedPageBreak/>
        <w:t>οδηγίες προς τον/την εκπαιδευτικό</w:t>
      </w:r>
    </w:p>
    <w:p w:rsidR="00913A45" w:rsidRDefault="00864094" w:rsidP="00B900E2">
      <w:pPr>
        <w:tabs>
          <w:tab w:val="left" w:pos="0"/>
        </w:tabs>
        <w:spacing w:line="360" w:lineRule="auto"/>
        <w:jc w:val="both"/>
        <w:rPr>
          <w:sz w:val="26"/>
          <w:szCs w:val="26"/>
        </w:rPr>
      </w:pPr>
      <w:r>
        <w:rPr>
          <w:sz w:val="26"/>
          <w:szCs w:val="26"/>
        </w:rPr>
        <w:tab/>
        <w:t>Σε αυτό το μάθημα ξεκινάμε με μια περίληψη των κυριοτέρων σημείων. Στη</w:t>
      </w:r>
      <w:r w:rsidR="007B2705">
        <w:rPr>
          <w:sz w:val="26"/>
          <w:szCs w:val="26"/>
        </w:rPr>
        <w:t xml:space="preserve"> συνέχεια, </w:t>
      </w:r>
      <w:r>
        <w:rPr>
          <w:sz w:val="26"/>
          <w:szCs w:val="26"/>
        </w:rPr>
        <w:t>διευκρινίζουμε κάτι σημαντικό: πώς μπορούμε να υπολογίσουμε τα χρόνια τα οποία καλύπτει ένας αιώνας. Με ένα εύκολο και διασκεδαστικό τρόπο δ</w:t>
      </w:r>
      <w:r w:rsidR="00223EA1">
        <w:rPr>
          <w:sz w:val="26"/>
          <w:szCs w:val="26"/>
        </w:rPr>
        <w:t xml:space="preserve">είχνουμε στα παιδιά πώς να το  υπολογίζουν. </w:t>
      </w:r>
      <w:r w:rsidR="007B2705">
        <w:rPr>
          <w:sz w:val="26"/>
          <w:szCs w:val="26"/>
        </w:rPr>
        <w:t>Σε ό,τι αφορά στα ερωτήματα της σελίδας 1 του φύλλου, ας διευκρινιστεί ότι ο</w:t>
      </w:r>
      <w:r w:rsidR="001612BA">
        <w:rPr>
          <w:sz w:val="26"/>
          <w:szCs w:val="26"/>
        </w:rPr>
        <w:t xml:space="preserve"> 6</w:t>
      </w:r>
      <w:r w:rsidR="001612BA" w:rsidRPr="001612BA">
        <w:rPr>
          <w:sz w:val="26"/>
          <w:szCs w:val="26"/>
          <w:vertAlign w:val="superscript"/>
        </w:rPr>
        <w:t>ος</w:t>
      </w:r>
      <w:r w:rsidR="001612BA">
        <w:rPr>
          <w:sz w:val="26"/>
          <w:szCs w:val="26"/>
        </w:rPr>
        <w:t xml:space="preserve"> αιώνας εκτείνεται από το 501 έως το 600 και ο 5</w:t>
      </w:r>
      <w:r w:rsidR="001612BA" w:rsidRPr="001612BA">
        <w:rPr>
          <w:sz w:val="26"/>
          <w:szCs w:val="26"/>
          <w:vertAlign w:val="superscript"/>
        </w:rPr>
        <w:t>ος</w:t>
      </w:r>
      <w:r w:rsidR="001612BA">
        <w:rPr>
          <w:sz w:val="26"/>
          <w:szCs w:val="26"/>
        </w:rPr>
        <w:t xml:space="preserve"> από το 401 μέχρι το 500. </w:t>
      </w:r>
    </w:p>
    <w:p w:rsidR="00223EA1" w:rsidRDefault="00223EA1" w:rsidP="00B900E2">
      <w:pPr>
        <w:tabs>
          <w:tab w:val="left" w:pos="0"/>
        </w:tabs>
        <w:spacing w:line="360" w:lineRule="auto"/>
        <w:jc w:val="both"/>
        <w:rPr>
          <w:sz w:val="26"/>
          <w:szCs w:val="26"/>
        </w:rPr>
      </w:pPr>
      <w:r>
        <w:rPr>
          <w:sz w:val="26"/>
          <w:szCs w:val="26"/>
        </w:rPr>
        <w:tab/>
        <w:t>Στη συνέχεια προσεγγίζουμε την κάθοδο των Δωριέων μέσα από αποσπάσματα του έργου «</w:t>
      </w:r>
      <w:r w:rsidRPr="001612BA">
        <w:rPr>
          <w:i/>
          <w:sz w:val="26"/>
          <w:szCs w:val="26"/>
        </w:rPr>
        <w:t>Αρχαία Ελληνική Ιστορία</w:t>
      </w:r>
      <w:r>
        <w:rPr>
          <w:sz w:val="26"/>
          <w:szCs w:val="26"/>
        </w:rPr>
        <w:t xml:space="preserve">» του </w:t>
      </w:r>
      <w:r>
        <w:rPr>
          <w:sz w:val="26"/>
          <w:szCs w:val="26"/>
          <w:lang w:val="en-US"/>
        </w:rPr>
        <w:t>Ulrich</w:t>
      </w:r>
      <w:r w:rsidRPr="00223EA1">
        <w:rPr>
          <w:sz w:val="26"/>
          <w:szCs w:val="26"/>
        </w:rPr>
        <w:t xml:space="preserve"> </w:t>
      </w:r>
      <w:r>
        <w:rPr>
          <w:sz w:val="26"/>
          <w:szCs w:val="26"/>
          <w:lang w:val="en-US"/>
        </w:rPr>
        <w:t>Wilcken</w:t>
      </w:r>
      <w:r>
        <w:rPr>
          <w:sz w:val="26"/>
          <w:szCs w:val="26"/>
        </w:rPr>
        <w:t xml:space="preserve">. Αρχικά, ζητούμε από τους μαθητές να προσδιορίσουν από μόνοι τους πάνω στο χάρτη της Βαλκανικής χερσονήσου τα μέρη από τα οποία ξεκίνησαν, τα σημεία στα οποία σταμάτησαν και τους τόπους όπου κατέληξαν. Θεωρούμε ότι με αυτήν τη μέθοδο οι μαθητές και οι μαθήτριες θα εξοικειωθούν πολύ καλύτερα με τη διαδικασία της καθόδου των Δωριέων, από το να αποστηθίσουν το σχολικό βιβλίο ή να κληθούν να απαντήσουν απλά σε μια ερώτηση κατανόησης. </w:t>
      </w:r>
    </w:p>
    <w:p w:rsidR="007F5221" w:rsidRPr="00EF0653" w:rsidRDefault="00A12360" w:rsidP="00B900E2">
      <w:pPr>
        <w:tabs>
          <w:tab w:val="left" w:pos="0"/>
        </w:tabs>
        <w:spacing w:line="360" w:lineRule="auto"/>
        <w:jc w:val="both"/>
        <w:rPr>
          <w:sz w:val="26"/>
          <w:szCs w:val="26"/>
        </w:rPr>
      </w:pPr>
      <w:r>
        <w:rPr>
          <w:sz w:val="26"/>
          <w:szCs w:val="26"/>
        </w:rPr>
        <w:tab/>
        <w:t xml:space="preserve">Εν συνεχεία, δίνουμε μια άσκηση μέσω της οποίας </w:t>
      </w:r>
      <w:r w:rsidR="00365632">
        <w:rPr>
          <w:sz w:val="26"/>
          <w:szCs w:val="26"/>
        </w:rPr>
        <w:t xml:space="preserve">οι μαθητές και οι μαθήτριες αναμένεται να συνδέσουν τη σημασία της λέξης </w:t>
      </w:r>
      <w:r w:rsidR="00365632" w:rsidRPr="00B900E2">
        <w:rPr>
          <w:i/>
          <w:sz w:val="26"/>
          <w:szCs w:val="26"/>
        </w:rPr>
        <w:t>Δωριείς</w:t>
      </w:r>
      <w:r w:rsidR="00365632">
        <w:rPr>
          <w:sz w:val="26"/>
          <w:szCs w:val="26"/>
        </w:rPr>
        <w:t xml:space="preserve"> με το δόρυ και να αντιληφθούν με αυτό τον τρόπο ότι η συγκεκριμένη φυλή προχώρησε κυρίως χρησιμοποιώντας το δόρυ της. Με άλλα λόγια, να </w:t>
      </w:r>
      <w:r w:rsidR="00B900E2">
        <w:rPr>
          <w:sz w:val="26"/>
          <w:szCs w:val="26"/>
        </w:rPr>
        <w:t>αναλογιστούν με ποιον τρόπο</w:t>
      </w:r>
      <w:r w:rsidR="00984C9F">
        <w:rPr>
          <w:sz w:val="26"/>
          <w:szCs w:val="26"/>
        </w:rPr>
        <w:t xml:space="preserve"> απέκτησαν τα εδάφη στα οποία επεκτάθηκαν. Παραπλήσια είναι και η αμέσως επόμενη άσκηση στην οποία οι μαθητές μέσω από την ετυμολογία της λέξης </w:t>
      </w:r>
      <w:r w:rsidR="00984C9F" w:rsidRPr="00B900E2">
        <w:rPr>
          <w:i/>
          <w:sz w:val="26"/>
          <w:szCs w:val="26"/>
        </w:rPr>
        <w:t>είλωτες</w:t>
      </w:r>
      <w:r w:rsidR="00984C9F">
        <w:rPr>
          <w:sz w:val="26"/>
          <w:szCs w:val="26"/>
        </w:rPr>
        <w:t xml:space="preserve"> θα πρέπει να οδηγηθούν στην κοινωνική θέση την οποία είχαν όσοι ζούσαν νωρίτερα στα ε</w:t>
      </w:r>
      <w:r w:rsidR="00B900E2">
        <w:rPr>
          <w:sz w:val="26"/>
          <w:szCs w:val="26"/>
        </w:rPr>
        <w:t xml:space="preserve">δάφη που κατέλαβαν οι Δωριείς. Το </w:t>
      </w:r>
      <w:r w:rsidR="007F5221">
        <w:rPr>
          <w:sz w:val="26"/>
          <w:szCs w:val="26"/>
        </w:rPr>
        <w:t>φύλλο εργασίας ολοκληρώνεται με μια άσκηση στην οποία οι μαθητές θα πρέπει να εντοπίσουν τις συνέπειες που υπήρξαν από την κάθοδο των Δωριέων</w:t>
      </w:r>
      <w:r w:rsidR="00EF0653">
        <w:rPr>
          <w:sz w:val="26"/>
          <w:szCs w:val="26"/>
        </w:rPr>
        <w:t>.</w:t>
      </w:r>
    </w:p>
    <w:sectPr w:rsidR="007F5221" w:rsidRPr="00EF0653" w:rsidSect="00D64B2E">
      <w:footerReference w:type="even" r:id="rId14"/>
      <w:footerReference w:type="default" r:id="rId15"/>
      <w:pgSz w:w="11906" w:h="16838"/>
      <w:pgMar w:top="719" w:right="991"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20" w:rsidRDefault="00CE7620">
      <w:r>
        <w:separator/>
      </w:r>
    </w:p>
  </w:endnote>
  <w:endnote w:type="continuationSeparator" w:id="0">
    <w:p w:rsidR="00CE7620" w:rsidRDefault="00CE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F" w:rsidRDefault="000D27E0">
    <w:pPr>
      <w:pStyle w:val="a3"/>
      <w:framePr w:wrap="around" w:vAnchor="text" w:hAnchor="margin" w:xAlign="center" w:y="1"/>
      <w:rPr>
        <w:rStyle w:val="a4"/>
      </w:rPr>
    </w:pPr>
    <w:r>
      <w:rPr>
        <w:rStyle w:val="a4"/>
      </w:rPr>
      <w:fldChar w:fldCharType="begin"/>
    </w:r>
    <w:r w:rsidR="00432B4F">
      <w:rPr>
        <w:rStyle w:val="a4"/>
      </w:rPr>
      <w:instrText xml:space="preserve">PAGE  </w:instrText>
    </w:r>
    <w:r>
      <w:rPr>
        <w:rStyle w:val="a4"/>
      </w:rPr>
      <w:fldChar w:fldCharType="end"/>
    </w:r>
  </w:p>
  <w:p w:rsidR="00432B4F" w:rsidRDefault="00432B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F" w:rsidRDefault="00A32007" w:rsidP="00E14947">
    <w:pPr>
      <w:pStyle w:val="a3"/>
      <w:pBdr>
        <w:top w:val="thinThickSmallGap" w:sz="24" w:space="1" w:color="622423"/>
      </w:pBdr>
      <w:tabs>
        <w:tab w:val="clear" w:pos="4153"/>
        <w:tab w:val="clear" w:pos="8306"/>
        <w:tab w:val="right" w:pos="9835"/>
      </w:tabs>
      <w:rPr>
        <w:rFonts w:ascii="Cambria" w:hAnsi="Cambria"/>
      </w:rPr>
    </w:pPr>
    <w:r>
      <w:rPr>
        <w:rFonts w:ascii="Cambria" w:hAnsi="Cambria"/>
        <w:sz w:val="22"/>
        <w:szCs w:val="22"/>
      </w:rPr>
      <w:t>Ιστορία Δ΄ Δημοτικού, Α΄ κεφάλαιο, 1</w:t>
    </w:r>
    <w:r w:rsidR="00432B4F" w:rsidRPr="00E14947">
      <w:rPr>
        <w:rFonts w:ascii="Cambria" w:hAnsi="Cambria"/>
        <w:sz w:val="22"/>
        <w:szCs w:val="22"/>
        <w:vertAlign w:val="superscript"/>
      </w:rPr>
      <w:t>η</w:t>
    </w:r>
    <w:r w:rsidR="00432B4F" w:rsidRPr="00E14947">
      <w:rPr>
        <w:rFonts w:ascii="Cambria" w:hAnsi="Cambria"/>
        <w:sz w:val="22"/>
        <w:szCs w:val="22"/>
      </w:rPr>
      <w:t xml:space="preserve"> ενότητα </w:t>
    </w:r>
    <w:r w:rsidR="00432B4F">
      <w:rPr>
        <w:rFonts w:ascii="Cambria" w:hAnsi="Cambria"/>
        <w:sz w:val="22"/>
        <w:szCs w:val="22"/>
      </w:rPr>
      <w:t xml:space="preserve">  </w:t>
    </w:r>
    <w:r>
      <w:rPr>
        <w:rFonts w:ascii="Cambria" w:hAnsi="Cambria"/>
        <w:sz w:val="22"/>
        <w:szCs w:val="22"/>
      </w:rPr>
      <w:t xml:space="preserve">Η κάθοδος των Δωριέων                                  </w:t>
    </w:r>
    <w:r w:rsidR="00432B4F">
      <w:rPr>
        <w:rFonts w:ascii="Cambria" w:hAnsi="Cambria"/>
      </w:rPr>
      <w:t xml:space="preserve">σελίδα </w:t>
    </w:r>
    <w:fldSimple w:instr=" PAGE   \* MERGEFORMAT ">
      <w:r w:rsidR="00B35528" w:rsidRPr="00B35528">
        <w:rPr>
          <w:rFonts w:ascii="Cambria" w:hAnsi="Cambria"/>
          <w:noProof/>
        </w:rPr>
        <w:t>2</w:t>
      </w:r>
    </w:fldSimple>
  </w:p>
  <w:p w:rsidR="00432B4F" w:rsidRDefault="00432B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20" w:rsidRDefault="00CE7620">
      <w:r>
        <w:separator/>
      </w:r>
    </w:p>
  </w:footnote>
  <w:footnote w:type="continuationSeparator" w:id="0">
    <w:p w:rsidR="00CE7620" w:rsidRDefault="00CE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8">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6"/>
  </w:num>
  <w:num w:numId="4">
    <w:abstractNumId w:val="2"/>
  </w:num>
  <w:num w:numId="5">
    <w:abstractNumId w:val="8"/>
  </w:num>
  <w:num w:numId="6">
    <w:abstractNumId w:val="10"/>
  </w:num>
  <w:num w:numId="7">
    <w:abstractNumId w:val="0"/>
  </w:num>
  <w:num w:numId="8">
    <w:abstractNumId w:val="7"/>
  </w:num>
  <w:num w:numId="9">
    <w:abstractNumId w:val="9"/>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33A26"/>
    <w:rsid w:val="000672F6"/>
    <w:rsid w:val="000A7C47"/>
    <w:rsid w:val="000D0B56"/>
    <w:rsid w:val="000D2263"/>
    <w:rsid w:val="000D27E0"/>
    <w:rsid w:val="000D2B52"/>
    <w:rsid w:val="000D46EC"/>
    <w:rsid w:val="000F38BA"/>
    <w:rsid w:val="00123EF7"/>
    <w:rsid w:val="00125F8A"/>
    <w:rsid w:val="00130542"/>
    <w:rsid w:val="0013784B"/>
    <w:rsid w:val="00145ED7"/>
    <w:rsid w:val="00147348"/>
    <w:rsid w:val="001612BA"/>
    <w:rsid w:val="001A6E25"/>
    <w:rsid w:val="001B145B"/>
    <w:rsid w:val="001D33F4"/>
    <w:rsid w:val="00214286"/>
    <w:rsid w:val="00223EA1"/>
    <w:rsid w:val="00242910"/>
    <w:rsid w:val="00243FE0"/>
    <w:rsid w:val="00274CC1"/>
    <w:rsid w:val="002866CE"/>
    <w:rsid w:val="00287AF2"/>
    <w:rsid w:val="002B0C52"/>
    <w:rsid w:val="002E3683"/>
    <w:rsid w:val="002F4B30"/>
    <w:rsid w:val="002F4B5A"/>
    <w:rsid w:val="002F7A36"/>
    <w:rsid w:val="0030088C"/>
    <w:rsid w:val="00332013"/>
    <w:rsid w:val="00342843"/>
    <w:rsid w:val="00365632"/>
    <w:rsid w:val="0037433D"/>
    <w:rsid w:val="00375537"/>
    <w:rsid w:val="003B45A9"/>
    <w:rsid w:val="003E4E83"/>
    <w:rsid w:val="003F3CD7"/>
    <w:rsid w:val="0041192C"/>
    <w:rsid w:val="004136B6"/>
    <w:rsid w:val="00423997"/>
    <w:rsid w:val="00432B4F"/>
    <w:rsid w:val="0049085D"/>
    <w:rsid w:val="00494937"/>
    <w:rsid w:val="0049528A"/>
    <w:rsid w:val="004E54CF"/>
    <w:rsid w:val="004F5E07"/>
    <w:rsid w:val="0051071C"/>
    <w:rsid w:val="005329DF"/>
    <w:rsid w:val="00543763"/>
    <w:rsid w:val="005504F2"/>
    <w:rsid w:val="00551259"/>
    <w:rsid w:val="00572759"/>
    <w:rsid w:val="005771FB"/>
    <w:rsid w:val="00581EB5"/>
    <w:rsid w:val="00582FA8"/>
    <w:rsid w:val="005E6DA9"/>
    <w:rsid w:val="006148D4"/>
    <w:rsid w:val="00620F04"/>
    <w:rsid w:val="00622587"/>
    <w:rsid w:val="00631617"/>
    <w:rsid w:val="006445FE"/>
    <w:rsid w:val="00661A13"/>
    <w:rsid w:val="0068212F"/>
    <w:rsid w:val="00695E7B"/>
    <w:rsid w:val="006A6742"/>
    <w:rsid w:val="006D3236"/>
    <w:rsid w:val="006F6AE7"/>
    <w:rsid w:val="00706471"/>
    <w:rsid w:val="00712B77"/>
    <w:rsid w:val="00714CBE"/>
    <w:rsid w:val="0072022E"/>
    <w:rsid w:val="007267D5"/>
    <w:rsid w:val="00733EEC"/>
    <w:rsid w:val="00743E87"/>
    <w:rsid w:val="00774ED3"/>
    <w:rsid w:val="00785719"/>
    <w:rsid w:val="00785B5D"/>
    <w:rsid w:val="007B0334"/>
    <w:rsid w:val="007B2705"/>
    <w:rsid w:val="007B3381"/>
    <w:rsid w:val="007B4AAE"/>
    <w:rsid w:val="007B6698"/>
    <w:rsid w:val="007E14CF"/>
    <w:rsid w:val="007E1AC7"/>
    <w:rsid w:val="007E6B08"/>
    <w:rsid w:val="007F2844"/>
    <w:rsid w:val="007F5221"/>
    <w:rsid w:val="0080351E"/>
    <w:rsid w:val="00836F76"/>
    <w:rsid w:val="008557AC"/>
    <w:rsid w:val="00855CB8"/>
    <w:rsid w:val="0086180E"/>
    <w:rsid w:val="00864094"/>
    <w:rsid w:val="0086629E"/>
    <w:rsid w:val="008817E2"/>
    <w:rsid w:val="00887463"/>
    <w:rsid w:val="008A71E4"/>
    <w:rsid w:val="008F2683"/>
    <w:rsid w:val="009074EC"/>
    <w:rsid w:val="00907D9F"/>
    <w:rsid w:val="00913A45"/>
    <w:rsid w:val="00930704"/>
    <w:rsid w:val="0095174A"/>
    <w:rsid w:val="00957327"/>
    <w:rsid w:val="0096555C"/>
    <w:rsid w:val="00984C9F"/>
    <w:rsid w:val="00985341"/>
    <w:rsid w:val="009B0FD6"/>
    <w:rsid w:val="00A12360"/>
    <w:rsid w:val="00A17EEA"/>
    <w:rsid w:val="00A32007"/>
    <w:rsid w:val="00A34391"/>
    <w:rsid w:val="00A43F6F"/>
    <w:rsid w:val="00A81FBD"/>
    <w:rsid w:val="00AA4E80"/>
    <w:rsid w:val="00AB4DAB"/>
    <w:rsid w:val="00AC43BA"/>
    <w:rsid w:val="00AE1602"/>
    <w:rsid w:val="00AF4EA9"/>
    <w:rsid w:val="00B011CE"/>
    <w:rsid w:val="00B13F27"/>
    <w:rsid w:val="00B30D05"/>
    <w:rsid w:val="00B35528"/>
    <w:rsid w:val="00B5529D"/>
    <w:rsid w:val="00B647D1"/>
    <w:rsid w:val="00B73517"/>
    <w:rsid w:val="00B7412E"/>
    <w:rsid w:val="00B900E2"/>
    <w:rsid w:val="00BA3207"/>
    <w:rsid w:val="00BB3EC6"/>
    <w:rsid w:val="00BC5085"/>
    <w:rsid w:val="00BD6A50"/>
    <w:rsid w:val="00BE1716"/>
    <w:rsid w:val="00BF2696"/>
    <w:rsid w:val="00BF5538"/>
    <w:rsid w:val="00C22688"/>
    <w:rsid w:val="00C42B30"/>
    <w:rsid w:val="00C54663"/>
    <w:rsid w:val="00CB18C5"/>
    <w:rsid w:val="00CC5D57"/>
    <w:rsid w:val="00CD4E23"/>
    <w:rsid w:val="00CE7620"/>
    <w:rsid w:val="00D22AE5"/>
    <w:rsid w:val="00D35738"/>
    <w:rsid w:val="00D64B2E"/>
    <w:rsid w:val="00D654BA"/>
    <w:rsid w:val="00D72A29"/>
    <w:rsid w:val="00DA3B99"/>
    <w:rsid w:val="00DA59D0"/>
    <w:rsid w:val="00DA773A"/>
    <w:rsid w:val="00DA79CD"/>
    <w:rsid w:val="00DB0C33"/>
    <w:rsid w:val="00DF70A6"/>
    <w:rsid w:val="00E14947"/>
    <w:rsid w:val="00E21E87"/>
    <w:rsid w:val="00E42B75"/>
    <w:rsid w:val="00E44FEC"/>
    <w:rsid w:val="00E80827"/>
    <w:rsid w:val="00E82CD6"/>
    <w:rsid w:val="00EA628F"/>
    <w:rsid w:val="00EC01A4"/>
    <w:rsid w:val="00ED6DC8"/>
    <w:rsid w:val="00EE7303"/>
    <w:rsid w:val="00EF0653"/>
    <w:rsid w:val="00EF6AAB"/>
    <w:rsid w:val="00F13254"/>
    <w:rsid w:val="00F22065"/>
    <w:rsid w:val="00F61491"/>
    <w:rsid w:val="00F91CC1"/>
    <w:rsid w:val="00F930F8"/>
    <w:rsid w:val="00FA3F5E"/>
    <w:rsid w:val="00FC55CE"/>
    <w:rsid w:val="00FD73FC"/>
    <w:rsid w:val="00FD7EF1"/>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rsid w:val="007E6B08"/>
    <w:rPr>
      <w:sz w:val="20"/>
      <w:szCs w:val="20"/>
    </w:rPr>
  </w:style>
  <w:style w:type="character" w:customStyle="1" w:styleId="Char1">
    <w:name w:val="Κείμενο υποσημείωσης Char"/>
    <w:basedOn w:val="a0"/>
    <w:link w:val="aa"/>
    <w:rsid w:val="007E6B08"/>
  </w:style>
  <w:style w:type="character" w:styleId="ab">
    <w:name w:val="footnote reference"/>
    <w:basedOn w:val="a0"/>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8E54FA-BA2E-4523-8949-88C6DD91AF0C}" type="doc">
      <dgm:prSet loTypeId="urn:microsoft.com/office/officeart/2005/8/layout/hList6" loCatId="list" qsTypeId="urn:microsoft.com/office/officeart/2005/8/quickstyle/3d3" qsCatId="3D" csTypeId="urn:microsoft.com/office/officeart/2005/8/colors/colorful5" csCatId="colorful" phldr="1"/>
      <dgm:spPr/>
      <dgm:t>
        <a:bodyPr/>
        <a:lstStyle/>
        <a:p>
          <a:endParaRPr lang="el-GR"/>
        </a:p>
      </dgm:t>
    </dgm:pt>
    <dgm:pt modelId="{9B74C68E-16C9-44C0-977A-B5EEA3DD57EE}">
      <dgm:prSet phldrT="[Κείμενο]"/>
      <dgm:spPr/>
      <dgm:t>
        <a:bodyPr/>
        <a:lstStyle/>
        <a:p>
          <a:r>
            <a:rPr lang="el-GR" b="1">
              <a:latin typeface="Times New Roman" pitchFamily="18" charset="0"/>
              <a:cs typeface="Times New Roman" pitchFamily="18" charset="0"/>
            </a:rPr>
            <a:t>οι Δωριείς επέβαλαν τη διάλεκτό τους. </a:t>
          </a:r>
        </a:p>
      </dgm:t>
    </dgm:pt>
    <dgm:pt modelId="{1E03602A-8F5D-4530-B95D-9B73532DA864}" type="parTrans" cxnId="{0D6EBBE0-94F2-4828-AD0B-E46DFDC1DED0}">
      <dgm:prSet/>
      <dgm:spPr/>
      <dgm:t>
        <a:bodyPr/>
        <a:lstStyle/>
        <a:p>
          <a:endParaRPr lang="el-GR"/>
        </a:p>
      </dgm:t>
    </dgm:pt>
    <dgm:pt modelId="{B27BA26A-54B8-4153-B917-9ED06864C21C}" type="sibTrans" cxnId="{0D6EBBE0-94F2-4828-AD0B-E46DFDC1DED0}">
      <dgm:prSet/>
      <dgm:spPr/>
      <dgm:t>
        <a:bodyPr/>
        <a:lstStyle/>
        <a:p>
          <a:endParaRPr lang="el-GR"/>
        </a:p>
      </dgm:t>
    </dgm:pt>
    <dgm:pt modelId="{E3E4CDCB-A1E6-414D-83D4-D45D96E864F6}">
      <dgm:prSet phldrT="[Κείμενο]"/>
      <dgm:spPr/>
      <dgm:t>
        <a:bodyPr/>
        <a:lstStyle/>
        <a:p>
          <a:r>
            <a:rPr lang="el-GR" b="1">
              <a:latin typeface="Times New Roman" pitchFamily="18" charset="0"/>
              <a:cs typeface="Times New Roman" pitchFamily="18" charset="0"/>
            </a:rPr>
            <a:t>Στη Σπάρτη μετέτρεψαν τους ντόπιους σε είλωτες.  </a:t>
          </a:r>
        </a:p>
      </dgm:t>
    </dgm:pt>
    <dgm:pt modelId="{2DB87C63-A1A5-4A27-B9A8-30C3A4E50C21}" type="parTrans" cxnId="{1A577DA8-F7C8-4C1F-B016-8A7C98EFEDFC}">
      <dgm:prSet/>
      <dgm:spPr/>
      <dgm:t>
        <a:bodyPr/>
        <a:lstStyle/>
        <a:p>
          <a:endParaRPr lang="el-GR"/>
        </a:p>
      </dgm:t>
    </dgm:pt>
    <dgm:pt modelId="{8B2927E1-7359-4DF0-B54E-904B6521C552}" type="sibTrans" cxnId="{1A577DA8-F7C8-4C1F-B016-8A7C98EFEDFC}">
      <dgm:prSet/>
      <dgm:spPr/>
      <dgm:t>
        <a:bodyPr/>
        <a:lstStyle/>
        <a:p>
          <a:endParaRPr lang="el-GR"/>
        </a:p>
      </dgm:t>
    </dgm:pt>
    <dgm:pt modelId="{A417AE38-18D1-47DA-B39C-96E7F1AE5B4E}">
      <dgm:prSet phldrT="[Κείμενο]"/>
      <dgm:spPr/>
      <dgm:t>
        <a:bodyPr/>
        <a:lstStyle/>
        <a:p>
          <a:r>
            <a:rPr lang="el-GR" b="1">
              <a:latin typeface="Times New Roman" pitchFamily="18" charset="0"/>
              <a:cs typeface="Times New Roman" pitchFamily="18" charset="0"/>
            </a:rPr>
            <a:t>Οι μικρασιατικοί πληθυσμοί αναγκάστηκαν να μετοικήσουν στην Ιταλία.  </a:t>
          </a:r>
        </a:p>
      </dgm:t>
    </dgm:pt>
    <dgm:pt modelId="{A6940056-BC30-48DE-93E3-87815A3B3C69}" type="parTrans" cxnId="{D4D35837-197B-4A4D-8256-07061C00588F}">
      <dgm:prSet/>
      <dgm:spPr/>
      <dgm:t>
        <a:bodyPr/>
        <a:lstStyle/>
        <a:p>
          <a:endParaRPr lang="el-GR"/>
        </a:p>
      </dgm:t>
    </dgm:pt>
    <dgm:pt modelId="{FBA8EDC6-91B0-48A7-8A34-5647724144F8}" type="sibTrans" cxnId="{D4D35837-197B-4A4D-8256-07061C00588F}">
      <dgm:prSet/>
      <dgm:spPr/>
      <dgm:t>
        <a:bodyPr/>
        <a:lstStyle/>
        <a:p>
          <a:endParaRPr lang="el-GR"/>
        </a:p>
      </dgm:t>
    </dgm:pt>
    <dgm:pt modelId="{CA2E3752-71CC-4BA0-AA2A-F4B01941212B}" type="pres">
      <dgm:prSet presAssocID="{C18E54FA-BA2E-4523-8949-88C6DD91AF0C}" presName="Name0" presStyleCnt="0">
        <dgm:presLayoutVars>
          <dgm:dir/>
          <dgm:resizeHandles val="exact"/>
        </dgm:presLayoutVars>
      </dgm:prSet>
      <dgm:spPr/>
      <dgm:t>
        <a:bodyPr/>
        <a:lstStyle/>
        <a:p>
          <a:endParaRPr lang="el-GR"/>
        </a:p>
      </dgm:t>
    </dgm:pt>
    <dgm:pt modelId="{BD38095F-6CC2-4851-9779-E2E636D7E452}" type="pres">
      <dgm:prSet presAssocID="{9B74C68E-16C9-44C0-977A-B5EEA3DD57EE}" presName="node" presStyleLbl="node1" presStyleIdx="0" presStyleCnt="3">
        <dgm:presLayoutVars>
          <dgm:bulletEnabled val="1"/>
        </dgm:presLayoutVars>
      </dgm:prSet>
      <dgm:spPr/>
      <dgm:t>
        <a:bodyPr/>
        <a:lstStyle/>
        <a:p>
          <a:endParaRPr lang="el-GR"/>
        </a:p>
      </dgm:t>
    </dgm:pt>
    <dgm:pt modelId="{10427CB9-758F-442C-9153-C9F2D3979B65}" type="pres">
      <dgm:prSet presAssocID="{B27BA26A-54B8-4153-B917-9ED06864C21C}" presName="sibTrans" presStyleCnt="0"/>
      <dgm:spPr/>
    </dgm:pt>
    <dgm:pt modelId="{393B3614-2631-448A-868C-19A5813C32C4}" type="pres">
      <dgm:prSet presAssocID="{E3E4CDCB-A1E6-414D-83D4-D45D96E864F6}" presName="node" presStyleLbl="node1" presStyleIdx="1" presStyleCnt="3" custLinFactNeighborX="1" custLinFactNeighborY="9292">
        <dgm:presLayoutVars>
          <dgm:bulletEnabled val="1"/>
        </dgm:presLayoutVars>
      </dgm:prSet>
      <dgm:spPr/>
      <dgm:t>
        <a:bodyPr/>
        <a:lstStyle/>
        <a:p>
          <a:endParaRPr lang="el-GR"/>
        </a:p>
      </dgm:t>
    </dgm:pt>
    <dgm:pt modelId="{A9A4DC47-A51A-4748-802F-26DE5485DF27}" type="pres">
      <dgm:prSet presAssocID="{8B2927E1-7359-4DF0-B54E-904B6521C552}" presName="sibTrans" presStyleCnt="0"/>
      <dgm:spPr/>
    </dgm:pt>
    <dgm:pt modelId="{E2279A8E-1097-44D5-8459-07848159AE32}" type="pres">
      <dgm:prSet presAssocID="{A417AE38-18D1-47DA-B39C-96E7F1AE5B4E}" presName="node" presStyleLbl="node1" presStyleIdx="2" presStyleCnt="3">
        <dgm:presLayoutVars>
          <dgm:bulletEnabled val="1"/>
        </dgm:presLayoutVars>
      </dgm:prSet>
      <dgm:spPr/>
      <dgm:t>
        <a:bodyPr/>
        <a:lstStyle/>
        <a:p>
          <a:endParaRPr lang="el-GR"/>
        </a:p>
      </dgm:t>
    </dgm:pt>
  </dgm:ptLst>
  <dgm:cxnLst>
    <dgm:cxn modelId="{1A577DA8-F7C8-4C1F-B016-8A7C98EFEDFC}" srcId="{C18E54FA-BA2E-4523-8949-88C6DD91AF0C}" destId="{E3E4CDCB-A1E6-414D-83D4-D45D96E864F6}" srcOrd="1" destOrd="0" parTransId="{2DB87C63-A1A5-4A27-B9A8-30C3A4E50C21}" sibTransId="{8B2927E1-7359-4DF0-B54E-904B6521C552}"/>
    <dgm:cxn modelId="{7525485B-8D48-407C-8430-ED1A16E571A4}" type="presOf" srcId="{E3E4CDCB-A1E6-414D-83D4-D45D96E864F6}" destId="{393B3614-2631-448A-868C-19A5813C32C4}" srcOrd="0" destOrd="0" presId="urn:microsoft.com/office/officeart/2005/8/layout/hList6"/>
    <dgm:cxn modelId="{D4D35837-197B-4A4D-8256-07061C00588F}" srcId="{C18E54FA-BA2E-4523-8949-88C6DD91AF0C}" destId="{A417AE38-18D1-47DA-B39C-96E7F1AE5B4E}" srcOrd="2" destOrd="0" parTransId="{A6940056-BC30-48DE-93E3-87815A3B3C69}" sibTransId="{FBA8EDC6-91B0-48A7-8A34-5647724144F8}"/>
    <dgm:cxn modelId="{0D6EBBE0-94F2-4828-AD0B-E46DFDC1DED0}" srcId="{C18E54FA-BA2E-4523-8949-88C6DD91AF0C}" destId="{9B74C68E-16C9-44C0-977A-B5EEA3DD57EE}" srcOrd="0" destOrd="0" parTransId="{1E03602A-8F5D-4530-B95D-9B73532DA864}" sibTransId="{B27BA26A-54B8-4153-B917-9ED06864C21C}"/>
    <dgm:cxn modelId="{0E271FF7-B361-47B5-933B-F0953EB9CF4F}" type="presOf" srcId="{9B74C68E-16C9-44C0-977A-B5EEA3DD57EE}" destId="{BD38095F-6CC2-4851-9779-E2E636D7E452}" srcOrd="0" destOrd="0" presId="urn:microsoft.com/office/officeart/2005/8/layout/hList6"/>
    <dgm:cxn modelId="{C78BB491-217A-41F3-B33D-2BDC6D359588}" type="presOf" srcId="{C18E54FA-BA2E-4523-8949-88C6DD91AF0C}" destId="{CA2E3752-71CC-4BA0-AA2A-F4B01941212B}" srcOrd="0" destOrd="0" presId="urn:microsoft.com/office/officeart/2005/8/layout/hList6"/>
    <dgm:cxn modelId="{75A33725-4007-4081-B0BC-3A5D24CDF24A}" type="presOf" srcId="{A417AE38-18D1-47DA-B39C-96E7F1AE5B4E}" destId="{E2279A8E-1097-44D5-8459-07848159AE32}" srcOrd="0" destOrd="0" presId="urn:microsoft.com/office/officeart/2005/8/layout/hList6"/>
    <dgm:cxn modelId="{E64CAA08-F159-495F-AA96-DA6958DC05AB}" type="presParOf" srcId="{CA2E3752-71CC-4BA0-AA2A-F4B01941212B}" destId="{BD38095F-6CC2-4851-9779-E2E636D7E452}" srcOrd="0" destOrd="0" presId="urn:microsoft.com/office/officeart/2005/8/layout/hList6"/>
    <dgm:cxn modelId="{9CFD673B-4806-4C9C-9A2D-22B812C33F72}" type="presParOf" srcId="{CA2E3752-71CC-4BA0-AA2A-F4B01941212B}" destId="{10427CB9-758F-442C-9153-C9F2D3979B65}" srcOrd="1" destOrd="0" presId="urn:microsoft.com/office/officeart/2005/8/layout/hList6"/>
    <dgm:cxn modelId="{6BA16E1C-181F-450E-8009-35BD0965E431}" type="presParOf" srcId="{CA2E3752-71CC-4BA0-AA2A-F4B01941212B}" destId="{393B3614-2631-448A-868C-19A5813C32C4}" srcOrd="2" destOrd="0" presId="urn:microsoft.com/office/officeart/2005/8/layout/hList6"/>
    <dgm:cxn modelId="{5D10AD9A-95E7-4E7C-87D3-94F047B0C2CF}" type="presParOf" srcId="{CA2E3752-71CC-4BA0-AA2A-F4B01941212B}" destId="{A9A4DC47-A51A-4748-802F-26DE5485DF27}" srcOrd="3" destOrd="0" presId="urn:microsoft.com/office/officeart/2005/8/layout/hList6"/>
    <dgm:cxn modelId="{04B6570C-63EE-42B7-A1AA-153E62003590}" type="presParOf" srcId="{CA2E3752-71CC-4BA0-AA2A-F4B01941212B}" destId="{E2279A8E-1097-44D5-8459-07848159AE32}" srcOrd="4" destOrd="0" presId="urn:microsoft.com/office/officeart/2005/8/layout/hList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38095F-6CC2-4851-9779-E2E636D7E452}">
      <dsp:nvSpPr>
        <dsp:cNvPr id="0" name=""/>
        <dsp:cNvSpPr/>
      </dsp:nvSpPr>
      <dsp:spPr>
        <a:xfrm rot="16200000">
          <a:off x="-593344" y="593754"/>
          <a:ext cx="2254250" cy="1066741"/>
        </a:xfrm>
        <a:prstGeom prst="flowChartManualOperation">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9850" tIns="0" rIns="71666" bIns="0" numCol="1" spcCol="1270" anchor="ctr" anchorCtr="0">
          <a:noAutofit/>
        </a:bodyPr>
        <a:lstStyle/>
        <a:p>
          <a:pPr lvl="0" algn="ctr" defTabSz="488950">
            <a:lnSpc>
              <a:spcPct val="90000"/>
            </a:lnSpc>
            <a:spcBef>
              <a:spcPct val="0"/>
            </a:spcBef>
            <a:spcAft>
              <a:spcPct val="35000"/>
            </a:spcAft>
          </a:pPr>
          <a:r>
            <a:rPr lang="el-GR" sz="1100" b="1" kern="1200">
              <a:latin typeface="Times New Roman" pitchFamily="18" charset="0"/>
              <a:cs typeface="Times New Roman" pitchFamily="18" charset="0"/>
            </a:rPr>
            <a:t>οι Δωριείς επέβαλαν τη διάλεκτό τους. </a:t>
          </a:r>
        </a:p>
      </dsp:txBody>
      <dsp:txXfrm rot="16200000">
        <a:off x="-593344" y="593754"/>
        <a:ext cx="2254250" cy="1066741"/>
      </dsp:txXfrm>
    </dsp:sp>
    <dsp:sp modelId="{393B3614-2631-448A-868C-19A5813C32C4}">
      <dsp:nvSpPr>
        <dsp:cNvPr id="0" name=""/>
        <dsp:cNvSpPr/>
      </dsp:nvSpPr>
      <dsp:spPr>
        <a:xfrm rot="16200000">
          <a:off x="553403" y="593754"/>
          <a:ext cx="2254250" cy="1066741"/>
        </a:xfrm>
        <a:prstGeom prst="flowChartManualOperation">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9850" tIns="0" rIns="71666" bIns="0" numCol="1" spcCol="1270" anchor="ctr" anchorCtr="0">
          <a:noAutofit/>
        </a:bodyPr>
        <a:lstStyle/>
        <a:p>
          <a:pPr lvl="0" algn="ctr" defTabSz="488950">
            <a:lnSpc>
              <a:spcPct val="90000"/>
            </a:lnSpc>
            <a:spcBef>
              <a:spcPct val="0"/>
            </a:spcBef>
            <a:spcAft>
              <a:spcPct val="35000"/>
            </a:spcAft>
          </a:pPr>
          <a:r>
            <a:rPr lang="el-GR" sz="1100" b="1" kern="1200">
              <a:latin typeface="Times New Roman" pitchFamily="18" charset="0"/>
              <a:cs typeface="Times New Roman" pitchFamily="18" charset="0"/>
            </a:rPr>
            <a:t>Στη Σπάρτη μετέτρεψαν τους ντόπιους σε είλωτες.  </a:t>
          </a:r>
        </a:p>
      </dsp:txBody>
      <dsp:txXfrm rot="16200000">
        <a:off x="553403" y="593754"/>
        <a:ext cx="2254250" cy="1066741"/>
      </dsp:txXfrm>
    </dsp:sp>
    <dsp:sp modelId="{E2279A8E-1097-44D5-8459-07848159AE32}">
      <dsp:nvSpPr>
        <dsp:cNvPr id="0" name=""/>
        <dsp:cNvSpPr/>
      </dsp:nvSpPr>
      <dsp:spPr>
        <a:xfrm rot="16200000">
          <a:off x="1700149" y="593754"/>
          <a:ext cx="2254250" cy="1066741"/>
        </a:xfrm>
        <a:prstGeom prst="flowChartManualOperation">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9850" tIns="0" rIns="71666" bIns="0" numCol="1" spcCol="1270" anchor="ctr" anchorCtr="0">
          <a:noAutofit/>
        </a:bodyPr>
        <a:lstStyle/>
        <a:p>
          <a:pPr lvl="0" algn="ctr" defTabSz="488950">
            <a:lnSpc>
              <a:spcPct val="90000"/>
            </a:lnSpc>
            <a:spcBef>
              <a:spcPct val="0"/>
            </a:spcBef>
            <a:spcAft>
              <a:spcPct val="35000"/>
            </a:spcAft>
          </a:pPr>
          <a:r>
            <a:rPr lang="el-GR" sz="1100" b="1" kern="1200">
              <a:latin typeface="Times New Roman" pitchFamily="18" charset="0"/>
              <a:cs typeface="Times New Roman" pitchFamily="18" charset="0"/>
            </a:rPr>
            <a:t>Οι μικρασιατικοί πληθυσμοί αναγκάστηκαν να μετοικήσουν στην Ιταλία.  </a:t>
          </a:r>
        </a:p>
      </dsp:txBody>
      <dsp:txXfrm rot="16200000">
        <a:off x="1700149" y="593754"/>
        <a:ext cx="2254250" cy="1066741"/>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CF21-A449-4901-807B-A97AE385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392</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21</cp:revision>
  <cp:lastPrinted>2009-01-08T20:05:00Z</cp:lastPrinted>
  <dcterms:created xsi:type="dcterms:W3CDTF">2015-09-23T16:03:00Z</dcterms:created>
  <dcterms:modified xsi:type="dcterms:W3CDTF">2016-09-07T07:35:00Z</dcterms:modified>
</cp:coreProperties>
</file>